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032637" cy="184404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537402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1032636" cy="1844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81.31pt;height:145.20pt;mso-wrap-distance-left:0.00pt;mso-wrap-distance-top:0.00pt;mso-wrap-distance-right:0.00pt;mso-wrap-distance-bottom:0.00pt;rotation:0;z-index:1;" stroked="f">
                <v:imagedata r:id="rId8" o:title=""/>
                <o:lock v:ext="edit" rotation="t"/>
              </v:shape>
            </w:pict>
          </mc:Fallback>
        </mc:AlternateContent>
      </w:r>
      <w:r>
        <w:t xml:space="preserve">    </w:t>
        <mc:AlternateContent>
          <mc:Choice Requires="wpg">
            <w:drawing>
              <wp:inline xmlns:wp="http://schemas.openxmlformats.org/drawingml/2006/wordprocessingDrawing" distT="0" distB="0" distL="0" distR="0">
                <wp:extent cx="1580515" cy="1580515"/>
                <wp:effectExtent l="0" t="0" r="0" b="0"/>
                <wp:docPr id="2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5822850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580514" cy="15805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24.45pt;height:124.4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color w:val="000000" w:themeColor="text1"/>
        </w:rPr>
        <w:t xml:space="preserve">      </w:t>
        <mc:AlternateContent>
          <mc:Choice Requires="wpg">
            <w:drawing>
              <wp:inline xmlns:wp="http://schemas.openxmlformats.org/drawingml/2006/wordprocessingDrawing" distT="0" distB="0" distL="0" distR="0">
                <wp:extent cx="1160567" cy="1432065"/>
                <wp:effectExtent l="0" t="0" r="0" b="0"/>
                <wp:docPr id="3" name="Рисунок 1" descr="C:\Users\borisenko_ov\Desktop\1619071802_-iitifmo-kriv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2416" name="Picture 1" descr="C:\Users\borisenko_ov\Desktop\1619071802_-iitifmo-kriv-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160566" cy="143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91.38pt;height:112.76pt;mso-wrap-distance-left:0.00pt;mso-wrap-distance-top:0.00pt;mso-wrap-distance-right:0.00pt;mso-wrap-distance-bottom:0.00pt;rotation:0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</w:p>
    <w:p>
      <w:pPr>
        <w:suppressLineNumbers w:val="false"/>
        <w:pBdr/>
        <w:spacing w:after="0" w:before="0" w:line="240" w:lineRule="auto"/>
        <w:ind/>
        <w:contextualSpacing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ФГБОУ ВО «Алтайский государственный педагогический университет»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6"/>
        <w:suppressLineNumbers w:val="false"/>
        <w:pBdr/>
        <w:spacing w:after="0" w:before="0" w:line="240" w:lineRule="auto"/>
        <w:ind/>
        <w:contextualSpacing w:val="false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Студенческая конференция</w:t>
        <w:br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«Дни науки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br/>
        <w:t xml:space="preserve">в Институте информационных технологий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br/>
        <w:t xml:space="preserve">и физико-математического образования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886"/>
        <w:suppressLineNumbers w:val="false"/>
        <w:pBdr/>
        <w:spacing w:after="0" w:before="0" w:line="240" w:lineRule="auto"/>
        <w:ind/>
        <w:contextualSpacing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7-12 апреля 2025 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uppressLineNumbers w:val="false"/>
        <w:pBdr/>
        <w:spacing w:after="0" w:before="0" w:line="240" w:lineRule="auto"/>
        <w:ind w:right="0" w:firstLine="567" w:left="0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ФГБОУ ВО «АлтГПУ» и Институт информационных технологий и физико-математического образования приглашает студентов среднего профессионального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бразования и школьников принять участие в ежегодной студенческой конференции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«Дни науки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Институте информационных технологий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физико-математического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uppressLineNumbers w:val="false"/>
        <w:pBdr/>
        <w:spacing w:after="0" w:before="0" w:line="240" w:lineRule="auto"/>
        <w:ind w:right="0" w:firstLine="567" w:left="0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этом году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Конференция посвящена отмечаемому в России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Году защитника Отечества и 80-летия Великой Победы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Десятилетию науки и технологий.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suppressLineNumbers w:val="false"/>
        <w:pBdr/>
        <w:spacing w:after="0" w:before="0" w:line="240" w:lineRule="auto"/>
        <w:ind w:right="0" w:firstLine="567" w:left="0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рамках недели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ежегодных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научных мероприятий, проводимых в честь  Дня Космонавтики, проводятся секции, открытые лекции, мастер-классы, конкурсы, олимпиады и экскурсии. Победителей секций, олимпиад и конкурсов отмечают грамотами, которые вручаются на Ученом совете института.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uppressLineNumbers w:val="false"/>
        <w:pBdr/>
        <w:spacing w:after="0" w:before="0" w:line="240" w:lineRule="auto"/>
        <w:ind w:right="0" w:firstLine="567" w:left="0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Участие в Конкурсе бесплатное. Публикация материалов выступлений не предусматривается.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Всем участникам будет оправлен сертификат,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руководителям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 благодарность за подготовку участника. Сертификат и благодарность будут отправлены в электронном виде.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suppressLineNumbers w:val="false"/>
        <w:pBdr/>
        <w:spacing w:after="0" w:before="0" w:line="240" w:lineRule="auto"/>
        <w:ind w:right="0" w:firstLine="567" w:left="0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before="0" w:line="240" w:lineRule="auto"/>
        <w:ind w:right="0" w:firstLine="567" w:left="0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Участникам за день до начала работы секций необходимо связаться с организаторами и сообщить о выступлении.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Bdr/>
        <w:spacing w:after="0" w:before="0" w:line="240" w:lineRule="auto"/>
        <w:ind w:right="0" w:firstLine="567" w:left="0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suppressLineNumbers w:val="false"/>
        <w:pBdr/>
        <w:spacing w:after="0" w:before="0" w:line="240" w:lineRule="auto"/>
        <w:ind w:right="0" w:firstLine="567" w:left="0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Подробнее ознакомится с программой конференции, принять участие в дис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танционном формате и конкурсах можно на сайте –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hyperlink r:id="rId11" w:tooltip="https://startup.altspu.ru/." w:history="1">
        <w:r>
          <w:rPr>
            <w:rFonts w:ascii="Times New Roman" w:hAnsi="Times New Roman" w:eastAsia="Times New Roman" w:cs="Times New Roman"/>
            <w:sz w:val="28"/>
            <w:szCs w:val="28"/>
            <w:highlight w:val="none"/>
          </w:rPr>
          <w:t xml:space="preserve">https://startup.altspu.ru/</w:t>
        </w:r>
        <w:r>
          <w:rPr>
            <w:rFonts w:ascii="Times New Roman" w:hAnsi="Times New Roman" w:eastAsia="Times New Roman" w:cs="Times New Roman"/>
            <w:sz w:val="28"/>
            <w:szCs w:val="28"/>
            <w:highlight w:val="none"/>
          </w:rPr>
          <w:t xml:space="preserve">.</w:t>
        </w:r>
        <w:r>
          <w:rPr>
            <w:rFonts w:ascii="Times New Roman" w:hAnsi="Times New Roman" w:eastAsia="Times New Roman" w:cs="Times New Roman"/>
            <w:sz w:val="28"/>
            <w:szCs w:val="28"/>
            <w:highlight w:val="none"/>
          </w:rPr>
        </w:r>
      </w:hyperlink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uppressLineNumbers w:val="false"/>
        <w:pBdr/>
        <w:spacing w:after="0" w:before="0" w:line="240" w:lineRule="auto"/>
        <w:ind w:right="0" w:firstLine="567" w:left="0"/>
        <w:contextualSpacing w:val="false"/>
        <w:jc w:val="both"/>
        <w:rPr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highlight w:val="none"/>
          <w14:ligatures w14:val="none"/>
        </w:rPr>
      </w:r>
    </w:p>
    <w:p>
      <w:pPr>
        <w:pBdr/>
        <w:spacing w:after="0" w:before="0" w:line="240" w:lineRule="auto"/>
        <w:ind w:right="0" w:firstLine="567" w:left="0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Вопросы, возникающие по организации и проведению Конференции, можно задать по электронной почте </w:t>
      </w:r>
      <w:hyperlink r:id="rId12" w:tooltip="Написать письмо" w:history="1">
        <w:r>
          <w:rPr>
            <w:rFonts w:ascii="Times New Roman" w:hAnsi="Times New Roman" w:eastAsia="Times New Roman" w:cs="Times New Roman"/>
            <w:sz w:val="28"/>
            <w:szCs w:val="28"/>
            <w:highlight w:val="none"/>
            <w:lang w:eastAsia="ru-RU"/>
          </w:rPr>
          <w:t xml:space="preserve">conference.toi.altspu@yandex.ru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Bdr/>
        <w:spacing w:after="0" w:before="0" w:line="240" w:lineRule="auto"/>
        <w:ind w:right="0" w:firstLine="567" w:left="0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Ответственный за организацию конкурса – канд.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пед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 н., доцент Тумбаева Наталья Викторовна, тел. (3852) 20-58-77, 8-906-943-57-23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h="16838" w:orient="portrait" w:w="11906"/>
      <w:pgMar w:top="1134" w:right="850" w:bottom="822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1"/>
    <w:next w:val="881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1"/>
    <w:next w:val="881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1"/>
    <w:next w:val="881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1"/>
    <w:next w:val="881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1"/>
    <w:next w:val="881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1"/>
    <w:next w:val="881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1"/>
    <w:next w:val="881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1"/>
    <w:next w:val="881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1"/>
    <w:next w:val="881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character" w:styleId="833">
    <w:name w:val="Heading 1 Char"/>
    <w:basedOn w:val="83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3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3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32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3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3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32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3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3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1"/>
    <w:next w:val="881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3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1"/>
    <w:next w:val="881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3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1"/>
    <w:next w:val="881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1"/>
    <w:next w:val="881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2">
    <w:name w:val="Subtle Emphasis"/>
    <w:basedOn w:val="8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3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3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3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3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3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3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>
    <w:name w:val="No Spacing"/>
    <w:basedOn w:val="881"/>
    <w:uiPriority w:val="1"/>
    <w:qFormat/>
    <w:pPr>
      <w:pBdr/>
      <w:spacing w:after="0" w:line="240" w:lineRule="auto"/>
      <w:ind/>
    </w:pPr>
  </w:style>
  <w:style w:type="paragraph" w:styleId="885">
    <w:name w:val="List Paragraph"/>
    <w:basedOn w:val="881"/>
    <w:uiPriority w:val="34"/>
    <w:qFormat/>
    <w:pPr>
      <w:pBdr/>
      <w:spacing/>
      <w:ind w:left="720"/>
      <w:contextualSpacing w:val="true"/>
    </w:pPr>
  </w:style>
  <w:style w:type="paragraph" w:styleId="886" w:customStyle="1">
    <w:name w:val="Normal (Web)"/>
    <w:uiPriority w:val="99"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yperlink" Target="https://startup.altspu.ru/." TargetMode="External"/><Relationship Id="rId12" Type="http://schemas.openxmlformats.org/officeDocument/2006/relationships/hyperlink" Target="mailto:conference.toi.altspu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2025-04-04T01:39:08Z</dcterms:modified>
</cp:coreProperties>
</file>